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D7335" w14:textId="77777777" w:rsidR="00656EDB" w:rsidRDefault="008B6843" w:rsidP="00656EDB">
      <w:pPr>
        <w:jc w:val="center"/>
      </w:pPr>
      <w:r>
        <w:t>OACTE Advocacy Committee, OCTEO Attendees</w:t>
      </w:r>
    </w:p>
    <w:p w14:paraId="64096DD3" w14:textId="77777777" w:rsidR="00646C8C" w:rsidRDefault="00646C8C" w:rsidP="00656EDB">
      <w:pPr>
        <w:jc w:val="center"/>
      </w:pPr>
      <w:r>
        <w:t>3/22/2018</w:t>
      </w:r>
    </w:p>
    <w:p w14:paraId="58C732FC" w14:textId="54AAC215" w:rsidR="008B6843" w:rsidRDefault="008B6843">
      <w:r>
        <w:t>As the umbrella organization for</w:t>
      </w:r>
      <w:r w:rsidR="005772E6">
        <w:t xml:space="preserve"> Ohio</w:t>
      </w:r>
      <w:r>
        <w:t xml:space="preserve"> teacher preparation programs, the Ohio Association of Colleges </w:t>
      </w:r>
      <w:r w:rsidR="00174587">
        <w:t>for</w:t>
      </w:r>
      <w:r>
        <w:t xml:space="preserve"> Teacher Education (OACTE) proposes the following guiding principles </w:t>
      </w:r>
      <w:r w:rsidR="00646C8C">
        <w:t>established collaborati</w:t>
      </w:r>
      <w:r w:rsidR="005772E6">
        <w:t xml:space="preserve">vely and </w:t>
      </w:r>
      <w:r w:rsidR="00011392">
        <w:t>approved</w:t>
      </w:r>
      <w:r w:rsidR="005772E6">
        <w:t xml:space="preserve"> by OACTE membership</w:t>
      </w:r>
      <w:r w:rsidR="00646C8C">
        <w:t xml:space="preserve">. </w:t>
      </w:r>
      <w:r>
        <w:t>The principles should be used</w:t>
      </w:r>
      <w:r w:rsidR="00646C8C">
        <w:t xml:space="preserve"> </w:t>
      </w:r>
      <w:r>
        <w:t xml:space="preserve">to inform advocacy efforts </w:t>
      </w:r>
      <w:r w:rsidR="005772E6">
        <w:t xml:space="preserve">supporting and advancing legislation to promote </w:t>
      </w:r>
      <w:r>
        <w:t xml:space="preserve">high quality teacher preparation and </w:t>
      </w:r>
      <w:r w:rsidR="005772E6">
        <w:t xml:space="preserve">ensure </w:t>
      </w:r>
      <w:r>
        <w:t>well-prepare</w:t>
      </w:r>
      <w:r w:rsidR="00646C8C">
        <w:t>d teachers for all Ohio children.</w:t>
      </w:r>
    </w:p>
    <w:p w14:paraId="6CFBC6A2" w14:textId="77777777" w:rsidR="00646C8C" w:rsidRDefault="00646C8C" w:rsidP="00F35D19">
      <w:pPr>
        <w:tabs>
          <w:tab w:val="left" w:pos="270"/>
        </w:tabs>
        <w:ind w:left="270" w:hanging="270"/>
      </w:pPr>
      <w:r>
        <w:t xml:space="preserve">I.  </w:t>
      </w:r>
      <w:r w:rsidR="00F35D19">
        <w:tab/>
      </w:r>
      <w:r>
        <w:t>OACTE Input on Educator Preparation Program Requirements and Policies</w:t>
      </w:r>
      <w:r w:rsidR="00F35D19">
        <w:t>.  To acknowledge the expertise of our teacher education institutions, we will advocate for:</w:t>
      </w:r>
    </w:p>
    <w:p w14:paraId="120033EF" w14:textId="0819E25C" w:rsidR="00646C8C" w:rsidRDefault="00646C8C" w:rsidP="00646C8C">
      <w:pPr>
        <w:pStyle w:val="ListParagraph"/>
        <w:numPr>
          <w:ilvl w:val="0"/>
          <w:numId w:val="2"/>
        </w:numPr>
      </w:pPr>
      <w:r>
        <w:t>Creation of a subcommittee of t</w:t>
      </w:r>
      <w:r w:rsidR="00D012E1">
        <w:t xml:space="preserve">he Educator Standards Board for traditional and alternative </w:t>
      </w:r>
      <w:r>
        <w:t>teacher preparation standards</w:t>
      </w:r>
    </w:p>
    <w:p w14:paraId="2CD50DB3" w14:textId="77777777" w:rsidR="00646C8C" w:rsidRDefault="00F35D19" w:rsidP="00646C8C">
      <w:pPr>
        <w:pStyle w:val="ListParagraph"/>
        <w:numPr>
          <w:ilvl w:val="0"/>
          <w:numId w:val="2"/>
        </w:numPr>
      </w:pPr>
      <w:r>
        <w:t xml:space="preserve">A transparent </w:t>
      </w:r>
      <w:r w:rsidR="00646C8C">
        <w:t>process for soliciting knowledgeab</w:t>
      </w:r>
      <w:r>
        <w:t xml:space="preserve">le, engaged representation </w:t>
      </w:r>
      <w:r w:rsidR="00646C8C">
        <w:t>provid</w:t>
      </w:r>
      <w:r>
        <w:t xml:space="preserve">ing a healthy </w:t>
      </w:r>
      <w:r w:rsidR="00646C8C">
        <w:t xml:space="preserve">balance of perspectives by region, public/private </w:t>
      </w:r>
      <w:r>
        <w:t>institutions, gender and race</w:t>
      </w:r>
    </w:p>
    <w:p w14:paraId="047B5683" w14:textId="77777777" w:rsidR="00F35D19" w:rsidRDefault="00F35D19" w:rsidP="00646C8C">
      <w:pPr>
        <w:pStyle w:val="ListParagraph"/>
        <w:numPr>
          <w:ilvl w:val="0"/>
          <w:numId w:val="2"/>
        </w:numPr>
      </w:pPr>
      <w:r>
        <w:t>Support for feedback channels providing outward communication of proposed legislative or administrative policy changes and gathering feedback on the impact of such changes</w:t>
      </w:r>
    </w:p>
    <w:p w14:paraId="0AB281D6" w14:textId="77777777" w:rsidR="00F35D19" w:rsidRDefault="00F35D19" w:rsidP="00F35D19">
      <w:pPr>
        <w:pStyle w:val="ListParagraph"/>
        <w:numPr>
          <w:ilvl w:val="0"/>
          <w:numId w:val="2"/>
        </w:numPr>
      </w:pPr>
      <w:r>
        <w:t>Proposing new requirements so that all teacher preparation requirements are viewed as a coherent whole rather than in piecemeal fashion, avoiding wherever possible proliferation of highly-specific requirements that prohibit innovation or cause deterioration of existing models of excellence</w:t>
      </w:r>
    </w:p>
    <w:p w14:paraId="7D2BA297" w14:textId="77777777" w:rsidR="00F35D19" w:rsidRDefault="00F35D19" w:rsidP="00646C8C">
      <w:pPr>
        <w:pStyle w:val="ListParagraph"/>
        <w:numPr>
          <w:ilvl w:val="0"/>
          <w:numId w:val="2"/>
        </w:numPr>
      </w:pPr>
      <w:r>
        <w:t>Introduction of new requirements on a reasonable timeline to allow for proper implementation</w:t>
      </w:r>
    </w:p>
    <w:p w14:paraId="62BF0A43" w14:textId="6ECC5786" w:rsidR="00D012E1" w:rsidRDefault="00D012E1" w:rsidP="00D012E1">
      <w:pPr>
        <w:tabs>
          <w:tab w:val="left" w:pos="270"/>
        </w:tabs>
        <w:ind w:left="270" w:hanging="270"/>
      </w:pPr>
      <w:r>
        <w:t>II.</w:t>
      </w:r>
      <w:r>
        <w:tab/>
        <w:t xml:space="preserve">Policies that Foster Partnerships between EPPs and </w:t>
      </w:r>
      <w:r w:rsidR="006101F2">
        <w:t>P</w:t>
      </w:r>
      <w:r>
        <w:t xml:space="preserve">-12 Districts. </w:t>
      </w:r>
      <w:r w:rsidR="00D42318">
        <w:t xml:space="preserve">Policies can support or inhibit EPPs’ abilities to partner with schools.  We will advocate for: </w:t>
      </w:r>
    </w:p>
    <w:p w14:paraId="55F9A8A5" w14:textId="6060EE78" w:rsidR="00D012E1" w:rsidRDefault="00D012E1" w:rsidP="00D012E1">
      <w:pPr>
        <w:pStyle w:val="ListParagraph"/>
        <w:numPr>
          <w:ilvl w:val="0"/>
          <w:numId w:val="3"/>
        </w:numPr>
      </w:pPr>
      <w:r>
        <w:t xml:space="preserve">Policies and systems that promote data systems and data sharing platforms </w:t>
      </w:r>
      <w:r w:rsidR="006101F2">
        <w:t>that are mutually beneficial for P-12 districts</w:t>
      </w:r>
      <w:r>
        <w:t xml:space="preserve"> </w:t>
      </w:r>
      <w:r w:rsidR="006101F2">
        <w:t xml:space="preserve">(e.g. </w:t>
      </w:r>
      <w:r>
        <w:t>track</w:t>
      </w:r>
      <w:r w:rsidR="006101F2">
        <w:t>ing P-12</w:t>
      </w:r>
      <w:r>
        <w:t xml:space="preserve"> graduates into higher education, EPP</w:t>
      </w:r>
      <w:r w:rsidR="006101F2">
        <w:t xml:space="preserve"> completers into P-12 employment, student growth measures to analyze impact of licensure candidates in clinical experiences) </w:t>
      </w:r>
    </w:p>
    <w:p w14:paraId="24B3190D" w14:textId="79FA64FA" w:rsidR="006101F2" w:rsidRDefault="006101F2" w:rsidP="006101F2">
      <w:pPr>
        <w:pStyle w:val="ListParagraph"/>
        <w:numPr>
          <w:ilvl w:val="0"/>
          <w:numId w:val="3"/>
        </w:numPr>
      </w:pPr>
      <w:r>
        <w:t>Establishment of universal instruments and processes for requesting field experiences</w:t>
      </w:r>
    </w:p>
    <w:p w14:paraId="60BB02A8" w14:textId="1600BDC3" w:rsidR="006101F2" w:rsidRDefault="00D012E1" w:rsidP="006101F2">
      <w:pPr>
        <w:pStyle w:val="ListParagraph"/>
        <w:numPr>
          <w:ilvl w:val="0"/>
          <w:numId w:val="3"/>
        </w:numPr>
      </w:pPr>
      <w:r>
        <w:t>Establishmen</w:t>
      </w:r>
      <w:r w:rsidR="006101F2">
        <w:t xml:space="preserve">t of policies that increase the appeal </w:t>
      </w:r>
      <w:r>
        <w:t>for K-12 professionals to work with EPP candidates (e.g. roll back Ohio ethics rules preventing payment</w:t>
      </w:r>
      <w:r w:rsidR="006101F2">
        <w:t xml:space="preserve">/compensation </w:t>
      </w:r>
      <w:r>
        <w:t xml:space="preserve">to </w:t>
      </w:r>
      <w:r w:rsidR="006101F2">
        <w:t>mentor</w:t>
      </w:r>
      <w:r>
        <w:t xml:space="preserve"> teachers, build incentives into OTES for working with student teachers, reducing concerns about student teachers having a negative impact on student growth measures</w:t>
      </w:r>
      <w:r w:rsidR="006101F2">
        <w:t>, paid internships to develop employment pipeline</w:t>
      </w:r>
      <w:r>
        <w:t xml:space="preserve">) </w:t>
      </w:r>
    </w:p>
    <w:p w14:paraId="1B34D918" w14:textId="77777777" w:rsidR="006101F2" w:rsidRDefault="006101F2" w:rsidP="006101F2">
      <w:pPr>
        <w:pStyle w:val="ListParagraph"/>
        <w:numPr>
          <w:ilvl w:val="0"/>
          <w:numId w:val="3"/>
        </w:numPr>
      </w:pPr>
      <w:r>
        <w:t>Support and development of alternative strategies to incentivize school districts to host teacher candidates (mentoring/tutoring programs, professional development, credit banking)</w:t>
      </w:r>
    </w:p>
    <w:p w14:paraId="37A722B2" w14:textId="575D55F1" w:rsidR="00D012E1" w:rsidRDefault="006101F2" w:rsidP="006101F2">
      <w:pPr>
        <w:pStyle w:val="ListParagraph"/>
        <w:numPr>
          <w:ilvl w:val="0"/>
          <w:numId w:val="3"/>
        </w:numPr>
      </w:pPr>
      <w:r>
        <w:t>Alignment of support and assessment processes across EPP and P-12 to take advantage of a developmental model for teacher preparation (e.g. alignment between edTPA/RESA)</w:t>
      </w:r>
    </w:p>
    <w:p w14:paraId="50E721FC" w14:textId="452473EA" w:rsidR="00011392" w:rsidRDefault="00011392">
      <w:r>
        <w:br w:type="page"/>
      </w:r>
    </w:p>
    <w:p w14:paraId="227FBBA8" w14:textId="77777777" w:rsidR="00011392" w:rsidRDefault="00011392" w:rsidP="00011392"/>
    <w:p w14:paraId="0E096F5F" w14:textId="50668C9F" w:rsidR="000C60AE" w:rsidRDefault="00F35D19" w:rsidP="000C60AE">
      <w:pPr>
        <w:tabs>
          <w:tab w:val="left" w:pos="270"/>
        </w:tabs>
        <w:ind w:left="270" w:hanging="270"/>
      </w:pPr>
      <w:r>
        <w:t>I</w:t>
      </w:r>
      <w:r w:rsidR="00D012E1">
        <w:t>I</w:t>
      </w:r>
      <w:r>
        <w:t>I.</w:t>
      </w:r>
      <w:r>
        <w:tab/>
      </w:r>
      <w:r w:rsidR="000C60AE">
        <w:t xml:space="preserve">Sensible Approaches to </w:t>
      </w:r>
      <w:r w:rsidR="00C55435">
        <w:t xml:space="preserve">Alternative </w:t>
      </w:r>
      <w:r w:rsidR="00137CAA">
        <w:t>Teacher Licensure</w:t>
      </w:r>
      <w:r w:rsidR="00C65CC8">
        <w:t>.  Given the fact that Ohio allows and encourages both traditional and alternative paths to teacher licensure, we will advocate for:</w:t>
      </w:r>
      <w:r w:rsidR="006B1C3E">
        <w:t xml:space="preserve"> </w:t>
      </w:r>
    </w:p>
    <w:p w14:paraId="1B025460" w14:textId="77777777" w:rsidR="000C60AE" w:rsidRDefault="000C60AE" w:rsidP="006B1C3E">
      <w:pPr>
        <w:pStyle w:val="ListParagraph"/>
        <w:numPr>
          <w:ilvl w:val="0"/>
          <w:numId w:val="1"/>
        </w:numPr>
      </w:pPr>
      <w:r>
        <w:t>Alternative licensure requirements for non-profit institutions to offer programs that do not sacrifice quality in the interest of speed</w:t>
      </w:r>
    </w:p>
    <w:p w14:paraId="436B9794" w14:textId="77777777" w:rsidR="00C65CC8" w:rsidRDefault="00C65CC8" w:rsidP="006B1C3E">
      <w:pPr>
        <w:pStyle w:val="ListParagraph"/>
        <w:numPr>
          <w:ilvl w:val="0"/>
          <w:numId w:val="1"/>
        </w:numPr>
      </w:pPr>
      <w:r>
        <w:t>Simple and consistent</w:t>
      </w:r>
      <w:r w:rsidR="000C60AE">
        <w:t xml:space="preserve"> administrative</w:t>
      </w:r>
      <w:r>
        <w:t xml:space="preserve"> language about program approval requirements to verify that alternatively licensed teachers will be highly qualified, with the necessary knowledge and skills to begin teaching</w:t>
      </w:r>
    </w:p>
    <w:p w14:paraId="11A2E528" w14:textId="77777777" w:rsidR="00C65CC8" w:rsidRDefault="00C65CC8" w:rsidP="006B1C3E">
      <w:pPr>
        <w:pStyle w:val="ListParagraph"/>
        <w:numPr>
          <w:ilvl w:val="0"/>
          <w:numId w:val="1"/>
        </w:numPr>
      </w:pPr>
      <w:r>
        <w:t>Establishment of common metrics to provide accountability and allow inquiry into the efficacy of teacher education pathways</w:t>
      </w:r>
      <w:r w:rsidR="000C60AE">
        <w:t xml:space="preserve"> (e.g. admission standards, exit requirements, performance evaluations)</w:t>
      </w:r>
    </w:p>
    <w:p w14:paraId="313DE196" w14:textId="77777777" w:rsidR="000C60AE" w:rsidRDefault="000C60AE" w:rsidP="006B1C3E">
      <w:pPr>
        <w:pStyle w:val="ListParagraph"/>
        <w:numPr>
          <w:ilvl w:val="0"/>
          <w:numId w:val="1"/>
        </w:numPr>
      </w:pPr>
      <w:r>
        <w:t>Mentoring programs for alternatively licensed teachers supporting growth along the teaching continuum</w:t>
      </w:r>
    </w:p>
    <w:p w14:paraId="2E03F7DB" w14:textId="6219A6F4" w:rsidR="006B1C3E" w:rsidRDefault="00D012E1" w:rsidP="00D012E1">
      <w:pPr>
        <w:tabs>
          <w:tab w:val="left" w:pos="270"/>
        </w:tabs>
        <w:ind w:left="270" w:hanging="270"/>
      </w:pPr>
      <w:r>
        <w:t>IV.</w:t>
      </w:r>
      <w:r>
        <w:tab/>
      </w:r>
      <w:r w:rsidR="006B1C3E">
        <w:t>Stability of ODE Policies –</w:t>
      </w:r>
      <w:r w:rsidR="00D42318">
        <w:t xml:space="preserve"> </w:t>
      </w:r>
      <w:r w:rsidR="006B1C3E">
        <w:t xml:space="preserve">Licensing, </w:t>
      </w:r>
      <w:r w:rsidR="00D42318">
        <w:t>P</w:t>
      </w:r>
      <w:r w:rsidR="006B1C3E">
        <w:t>-12 Curriculum and Instruction</w:t>
      </w:r>
      <w:r w:rsidR="00D42318">
        <w:t>.  P-12</w:t>
      </w:r>
      <w:r w:rsidR="006B1C3E">
        <w:t xml:space="preserve"> </w:t>
      </w:r>
      <w:r w:rsidR="00D42318">
        <w:t>policies sometimes have unintended consequences on teacher preparation programs.  We will advocate for:</w:t>
      </w:r>
    </w:p>
    <w:p w14:paraId="31558FFD" w14:textId="7512B882" w:rsidR="00D42318" w:rsidRDefault="00D42318" w:rsidP="006B1C3E">
      <w:pPr>
        <w:pStyle w:val="ListParagraph"/>
        <w:numPr>
          <w:ilvl w:val="0"/>
          <w:numId w:val="3"/>
        </w:numPr>
      </w:pPr>
      <w:r>
        <w:t>Policies that enhance the professionalization of teaching through the recognition and reward of teachers as knowledgeable professionals with specialized knowledge and skills</w:t>
      </w:r>
    </w:p>
    <w:p w14:paraId="69486785" w14:textId="1B601A8C" w:rsidR="00656EDB" w:rsidRDefault="00011392" w:rsidP="006B1C3E">
      <w:pPr>
        <w:pStyle w:val="ListParagraph"/>
        <w:numPr>
          <w:ilvl w:val="0"/>
          <w:numId w:val="3"/>
        </w:numPr>
      </w:pPr>
      <w:r>
        <w:t>Modification of e</w:t>
      </w:r>
      <w:r w:rsidR="006B1C3E">
        <w:t xml:space="preserve">stablished curriculum models, </w:t>
      </w:r>
      <w:r>
        <w:t xml:space="preserve">student </w:t>
      </w:r>
      <w:r w:rsidR="006B1C3E">
        <w:t>assessment</w:t>
      </w:r>
      <w:r>
        <w:t>s</w:t>
      </w:r>
      <w:r w:rsidR="006B1C3E">
        <w:t>, and teacher evaluation in a gradual fashion allowing sufficient time for</w:t>
      </w:r>
      <w:r w:rsidR="00656EDB">
        <w:t xml:space="preserve"> implementation</w:t>
      </w:r>
    </w:p>
    <w:p w14:paraId="6A3D3F0C" w14:textId="343DFC86" w:rsidR="00D42318" w:rsidRDefault="00D42318" w:rsidP="006B1C3E">
      <w:pPr>
        <w:pStyle w:val="ListParagraph"/>
        <w:numPr>
          <w:ilvl w:val="0"/>
          <w:numId w:val="3"/>
        </w:numPr>
      </w:pPr>
      <w:r>
        <w:t>Alignment of K-12 curriculum with S</w:t>
      </w:r>
      <w:r w:rsidR="00137CAA">
        <w:t>pecialized Professional Association (S</w:t>
      </w:r>
      <w:r>
        <w:t>PA</w:t>
      </w:r>
      <w:r w:rsidR="00137CAA">
        <w:t>)</w:t>
      </w:r>
      <w:r>
        <w:t xml:space="preserve"> content standards</w:t>
      </w:r>
    </w:p>
    <w:p w14:paraId="4AA897E2" w14:textId="1A781D1D" w:rsidR="00D42318" w:rsidRDefault="00D42318" w:rsidP="006B1C3E">
      <w:pPr>
        <w:pStyle w:val="ListParagraph"/>
        <w:numPr>
          <w:ilvl w:val="0"/>
          <w:numId w:val="3"/>
        </w:numPr>
      </w:pPr>
      <w:r>
        <w:t>Awareness of how P-12 policies intersect with teacher preparation issues (e.g. licensure bands impacts licensure standards, licensure tests, SPA approval; school year start date impacts student teaching semester)</w:t>
      </w:r>
    </w:p>
    <w:p w14:paraId="784D2A85" w14:textId="77777777" w:rsidR="006B1C3E" w:rsidRDefault="006B1C3E"/>
    <w:sectPr w:rsidR="006B1C3E" w:rsidSect="00605B35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FB878" w14:textId="77777777" w:rsidR="00605B35" w:rsidRDefault="00605B35" w:rsidP="00011392">
      <w:pPr>
        <w:spacing w:after="0" w:line="240" w:lineRule="auto"/>
      </w:pPr>
      <w:r>
        <w:separator/>
      </w:r>
    </w:p>
  </w:endnote>
  <w:endnote w:type="continuationSeparator" w:id="0">
    <w:p w14:paraId="3121289E" w14:textId="77777777" w:rsidR="00605B35" w:rsidRDefault="00605B35" w:rsidP="00011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093E9" w14:textId="77777777" w:rsidR="00011392" w:rsidRDefault="00011392" w:rsidP="00BF3B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E8A609" w14:textId="7647AA36" w:rsidR="00011392" w:rsidRDefault="00000000" w:rsidP="00011392">
    <w:pPr>
      <w:pStyle w:val="Footer"/>
      <w:ind w:right="360"/>
    </w:pPr>
    <w:sdt>
      <w:sdtPr>
        <w:id w:val="969400743"/>
        <w:temporary/>
        <w:showingPlcHdr/>
      </w:sdtPr>
      <w:sdtContent>
        <w:r w:rsidR="00011392">
          <w:t>[Type text]</w:t>
        </w:r>
      </w:sdtContent>
    </w:sdt>
    <w:r w:rsidR="00011392">
      <w:ptab w:relativeTo="margin" w:alignment="center" w:leader="none"/>
    </w:r>
    <w:sdt>
      <w:sdtPr>
        <w:id w:val="969400748"/>
        <w:temporary/>
        <w:showingPlcHdr/>
      </w:sdtPr>
      <w:sdtContent>
        <w:r w:rsidR="00011392">
          <w:t>[Type text]</w:t>
        </w:r>
      </w:sdtContent>
    </w:sdt>
    <w:r w:rsidR="00011392">
      <w:ptab w:relativeTo="margin" w:alignment="right" w:leader="none"/>
    </w:r>
    <w:sdt>
      <w:sdtPr>
        <w:id w:val="969400753"/>
        <w:temporary/>
        <w:showingPlcHdr/>
      </w:sdtPr>
      <w:sdtContent>
        <w:r w:rsidR="00011392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7469B" w14:textId="77777777" w:rsidR="00011392" w:rsidRDefault="00011392" w:rsidP="00BF3B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37CAA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D0D137" w14:textId="26835681" w:rsidR="00011392" w:rsidRDefault="00011392" w:rsidP="00011392">
    <w:pPr>
      <w:pStyle w:val="Footer"/>
      <w:ind w:right="360"/>
    </w:pPr>
    <w:r>
      <w:t>OACTE Legislative Platform DRAFT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9C9F0" w14:textId="77777777" w:rsidR="00605B35" w:rsidRDefault="00605B35" w:rsidP="00011392">
      <w:pPr>
        <w:spacing w:after="0" w:line="240" w:lineRule="auto"/>
      </w:pPr>
      <w:r>
        <w:separator/>
      </w:r>
    </w:p>
  </w:footnote>
  <w:footnote w:type="continuationSeparator" w:id="0">
    <w:p w14:paraId="07C8A384" w14:textId="77777777" w:rsidR="00605B35" w:rsidRDefault="00605B35" w:rsidP="00011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72744" w14:textId="77777777" w:rsidR="00011392" w:rsidRDefault="00000000">
    <w:pPr>
      <w:pStyle w:val="Header"/>
    </w:pPr>
    <w:sdt>
      <w:sdtPr>
        <w:id w:val="171999623"/>
        <w:placeholder>
          <w:docPart w:val="F897DE769D232045A7DDF490B16F5D24"/>
        </w:placeholder>
        <w:temporary/>
        <w:showingPlcHdr/>
      </w:sdtPr>
      <w:sdtContent>
        <w:r w:rsidR="00011392">
          <w:t>[Type text]</w:t>
        </w:r>
      </w:sdtContent>
    </w:sdt>
    <w:r w:rsidR="00011392">
      <w:ptab w:relativeTo="margin" w:alignment="center" w:leader="none"/>
    </w:r>
    <w:sdt>
      <w:sdtPr>
        <w:id w:val="171999624"/>
        <w:placeholder>
          <w:docPart w:val="863CF58EEAEBD84085DE6805FE82191F"/>
        </w:placeholder>
        <w:temporary/>
        <w:showingPlcHdr/>
      </w:sdtPr>
      <w:sdtContent>
        <w:r w:rsidR="00011392">
          <w:t>[Type text]</w:t>
        </w:r>
      </w:sdtContent>
    </w:sdt>
    <w:r w:rsidR="00011392">
      <w:ptab w:relativeTo="margin" w:alignment="right" w:leader="none"/>
    </w:r>
    <w:sdt>
      <w:sdtPr>
        <w:id w:val="171999625"/>
        <w:placeholder>
          <w:docPart w:val="853C38070ADBE545A4DB6B44C143D141"/>
        </w:placeholder>
        <w:temporary/>
        <w:showingPlcHdr/>
      </w:sdtPr>
      <w:sdtContent>
        <w:r w:rsidR="00011392">
          <w:t>[Type text]</w:t>
        </w:r>
      </w:sdtContent>
    </w:sdt>
  </w:p>
  <w:p w14:paraId="0A7A0B15" w14:textId="77777777" w:rsidR="00011392" w:rsidRDefault="000113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21748" w14:textId="26DBAAB6" w:rsidR="00011392" w:rsidRDefault="00011392">
    <w:pPr>
      <w:pStyle w:val="Header"/>
    </w:pPr>
    <w:r>
      <w:ptab w:relativeTo="margin" w:alignment="center" w:leader="none"/>
    </w:r>
    <w:r w:rsidRPr="00646C8C">
      <w:rPr>
        <w:b/>
      </w:rPr>
      <w:t>OACTE Legislative Platform</w:t>
    </w:r>
    <w:r>
      <w:rPr>
        <w:b/>
      </w:rPr>
      <w:t xml:space="preserve"> </w:t>
    </w:r>
    <w:r>
      <w:ptab w:relativeTo="margin" w:alignment="right" w:leader="none"/>
    </w:r>
  </w:p>
  <w:p w14:paraId="5475C469" w14:textId="77777777" w:rsidR="00011392" w:rsidRDefault="000113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61F6C"/>
    <w:multiLevelType w:val="hybridMultilevel"/>
    <w:tmpl w:val="EFB0C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B132E"/>
    <w:multiLevelType w:val="hybridMultilevel"/>
    <w:tmpl w:val="F90C0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4178D3"/>
    <w:multiLevelType w:val="hybridMultilevel"/>
    <w:tmpl w:val="02C8F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0561346">
    <w:abstractNumId w:val="1"/>
  </w:num>
  <w:num w:numId="2" w16cid:durableId="188572696">
    <w:abstractNumId w:val="2"/>
  </w:num>
  <w:num w:numId="3" w16cid:durableId="63534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1C3E"/>
    <w:rsid w:val="00011392"/>
    <w:rsid w:val="000C60AE"/>
    <w:rsid w:val="00137CAA"/>
    <w:rsid w:val="00174587"/>
    <w:rsid w:val="005772E6"/>
    <w:rsid w:val="00605B35"/>
    <w:rsid w:val="006101F2"/>
    <w:rsid w:val="00646C8C"/>
    <w:rsid w:val="00656EDB"/>
    <w:rsid w:val="006B1C3E"/>
    <w:rsid w:val="008B6843"/>
    <w:rsid w:val="00C55435"/>
    <w:rsid w:val="00C65CC8"/>
    <w:rsid w:val="00D012E1"/>
    <w:rsid w:val="00D42318"/>
    <w:rsid w:val="00DE16D4"/>
    <w:rsid w:val="00F3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E0B19E"/>
  <w15:docId w15:val="{BAD0A583-BDD2-4CD4-BDA0-304CC76B0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C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13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392"/>
  </w:style>
  <w:style w:type="paragraph" w:styleId="Footer">
    <w:name w:val="footer"/>
    <w:basedOn w:val="Normal"/>
    <w:link w:val="FooterChar"/>
    <w:uiPriority w:val="99"/>
    <w:unhideWhenUsed/>
    <w:rsid w:val="000113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392"/>
  </w:style>
  <w:style w:type="character" w:styleId="PageNumber">
    <w:name w:val="page number"/>
    <w:basedOn w:val="DefaultParagraphFont"/>
    <w:uiPriority w:val="99"/>
    <w:semiHidden/>
    <w:unhideWhenUsed/>
    <w:rsid w:val="00011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897DE769D232045A7DDF490B16F5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B51BA-2859-164B-A4E7-A19EC998E5DA}"/>
      </w:docPartPr>
      <w:docPartBody>
        <w:p w:rsidR="003B301B" w:rsidRDefault="002F349D" w:rsidP="002F349D">
          <w:pPr>
            <w:pStyle w:val="F897DE769D232045A7DDF490B16F5D24"/>
          </w:pPr>
          <w:r>
            <w:t>[Type text]</w:t>
          </w:r>
        </w:p>
      </w:docPartBody>
    </w:docPart>
    <w:docPart>
      <w:docPartPr>
        <w:name w:val="863CF58EEAEBD84085DE6805FE821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BAD1E-9CA6-6146-B41B-C3BD1B44C340}"/>
      </w:docPartPr>
      <w:docPartBody>
        <w:p w:rsidR="003B301B" w:rsidRDefault="002F349D" w:rsidP="002F349D">
          <w:pPr>
            <w:pStyle w:val="863CF58EEAEBD84085DE6805FE82191F"/>
          </w:pPr>
          <w:r>
            <w:t>[Type text]</w:t>
          </w:r>
        </w:p>
      </w:docPartBody>
    </w:docPart>
    <w:docPart>
      <w:docPartPr>
        <w:name w:val="853C38070ADBE545A4DB6B44C143D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1D3F6-BC4F-4E47-AACF-FC3FFBF44349}"/>
      </w:docPartPr>
      <w:docPartBody>
        <w:p w:rsidR="003B301B" w:rsidRDefault="002F349D" w:rsidP="002F349D">
          <w:pPr>
            <w:pStyle w:val="853C38070ADBE545A4DB6B44C143D14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349D"/>
    <w:rsid w:val="00236AB8"/>
    <w:rsid w:val="002F349D"/>
    <w:rsid w:val="003B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897DE769D232045A7DDF490B16F5D24">
    <w:name w:val="F897DE769D232045A7DDF490B16F5D24"/>
    <w:rsid w:val="002F349D"/>
  </w:style>
  <w:style w:type="paragraph" w:customStyle="1" w:styleId="863CF58EEAEBD84085DE6805FE82191F">
    <w:name w:val="863CF58EEAEBD84085DE6805FE82191F"/>
    <w:rsid w:val="002F349D"/>
  </w:style>
  <w:style w:type="paragraph" w:customStyle="1" w:styleId="853C38070ADBE545A4DB6B44C143D141">
    <w:name w:val="853C38070ADBE545A4DB6B44C143D141"/>
    <w:rsid w:val="002F34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68095D-50E2-524F-8913-0CC06A181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State University</Company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P Yusko</dc:creator>
  <cp:keywords/>
  <dc:description/>
  <cp:lastModifiedBy>DeHoff, Brian</cp:lastModifiedBy>
  <cp:revision>7</cp:revision>
  <dcterms:created xsi:type="dcterms:W3CDTF">2018-03-23T01:17:00Z</dcterms:created>
  <dcterms:modified xsi:type="dcterms:W3CDTF">2024-03-26T16:15:00Z</dcterms:modified>
</cp:coreProperties>
</file>